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AC33C00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5926EA" w:rsidRPr="005926EA">
        <w:t>23523.003865/2022-48</w:t>
      </w:r>
    </w:p>
    <w:p w14:paraId="60D38632" w14:textId="49A2799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5926EA">
        <w:t>66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83139E2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5926EA" w:rsidRPr="005926EA">
        <w:rPr>
          <w:rFonts w:ascii="Calibri Light" w:hAnsi="Calibri Light"/>
          <w:sz w:val="24"/>
          <w:szCs w:val="24"/>
        </w:rPr>
        <w:t>aquisição de </w:t>
      </w:r>
      <w:r w:rsidR="005926EA" w:rsidRPr="005926EA">
        <w:rPr>
          <w:rFonts w:ascii="Calibri Light" w:hAnsi="Calibri Light"/>
          <w:b/>
          <w:bCs/>
          <w:sz w:val="24"/>
          <w:szCs w:val="24"/>
        </w:rPr>
        <w:t>INSUMOS DE OPME - HEMODINÂMICA - PROCEDIMENTO VASCULAR </w:t>
      </w:r>
      <w:r w:rsidR="005926EA" w:rsidRPr="005926EA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1338E0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926EA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926EA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926E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47640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926EA">
        <w:t>20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926EA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2022-06-20T13:27:00Z</dcterms:created>
  <dcterms:modified xsi:type="dcterms:W3CDTF">2022-06-20T13:27:00Z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