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A208757" w:rsidR="003F62BA" w:rsidRDefault="00804493">
      <w:pPr>
        <w:pStyle w:val="Ttulo1"/>
        <w:spacing w:before="52"/>
        <w:ind w:left="1069"/>
      </w:pPr>
      <w:r>
        <w:t>AVISO DE</w:t>
      </w:r>
      <w:r w:rsidR="00531E47">
        <w:t xml:space="preserve"> ADIAMENTO</w:t>
      </w:r>
    </w:p>
    <w:p w14:paraId="717B0FEE" w14:textId="696FD005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0A88">
        <w:rPr>
          <w:b/>
          <w:sz w:val="24"/>
        </w:rPr>
        <w:t>0</w:t>
      </w:r>
      <w:r w:rsidR="00F43A2F">
        <w:rPr>
          <w:b/>
          <w:sz w:val="24"/>
        </w:rPr>
        <w:t>76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40FDB368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F43A2F" w:rsidRPr="00F43A2F">
        <w:rPr>
          <w:b/>
          <w:sz w:val="24"/>
        </w:rPr>
        <w:t>23523.011382/2021-36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2044AD2E" w14:textId="3916A75A" w:rsidR="00531E47" w:rsidRPr="00531E47" w:rsidRDefault="00804493" w:rsidP="00531E47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F43A2F" w:rsidRPr="00F43A2F">
        <w:t>aquisição de material de consumo utilizados nos procedimentos de Prova Cruzada por Citometria de Fluxo, no Laboratório de Histocompatibilidade da Unidade Laboratório de Análises Clínicas e Histocompatibilidade do HU-Ufma/Ebserh, CONFORME ESPECIFICAÇÕES E QUANTIDADES CONSTANTES DO ITEM 03 DO TERMO DE REFERÊNCIA – Anexo I.</w:t>
      </w:r>
    </w:p>
    <w:bookmarkEnd w:id="0"/>
    <w:p w14:paraId="236A75BF" w14:textId="77777777" w:rsidR="00235612" w:rsidRPr="00235612" w:rsidRDefault="00235612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1D8ABC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30A88">
        <w:rPr>
          <w:sz w:val="24"/>
        </w:rPr>
        <w:t>1</w:t>
      </w:r>
      <w:r w:rsidR="00F43A2F">
        <w:rPr>
          <w:sz w:val="24"/>
        </w:rPr>
        <w:t>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F43A2F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252867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F43A2F">
        <w:t>30</w:t>
      </w:r>
      <w:r w:rsidR="00430A88">
        <w:t xml:space="preserve"> de Julho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2021-07-30T11:58:00Z</dcterms:created>
  <dcterms:modified xsi:type="dcterms:W3CDTF">2021-07-30T11:58:00Z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